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62D1" w14:textId="7A251224" w:rsidR="0077534D" w:rsidRPr="0077534D" w:rsidRDefault="003B22C8" w:rsidP="0077534D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="0077534D" w:rsidRPr="0077534D">
        <w:rPr>
          <w:rFonts w:cstheme="minorHAnsi"/>
          <w:noProof/>
        </w:rPr>
        <w:drawing>
          <wp:inline distT="0" distB="0" distL="0" distR="0" wp14:anchorId="6F84B017" wp14:editId="032E1C7A">
            <wp:extent cx="2821035" cy="80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logo High Res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640" cy="81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9AA3" w14:textId="77777777" w:rsidR="0077534D" w:rsidRPr="0077534D" w:rsidRDefault="0077534D" w:rsidP="0077534D">
      <w:pPr>
        <w:rPr>
          <w:rFonts w:cstheme="minorHAnsi"/>
        </w:rPr>
      </w:pPr>
    </w:p>
    <w:p w14:paraId="25DACBCA" w14:textId="0C61DC8C" w:rsidR="00CA2DBB" w:rsidRPr="0077534D" w:rsidRDefault="0077534D" w:rsidP="0077534D">
      <w:pPr>
        <w:pStyle w:val="Title"/>
        <w:rPr>
          <w:b/>
          <w:sz w:val="40"/>
          <w:szCs w:val="40"/>
        </w:rPr>
      </w:pPr>
      <w:r w:rsidRPr="0077534D">
        <w:rPr>
          <w:b/>
          <w:sz w:val="40"/>
          <w:szCs w:val="40"/>
        </w:rPr>
        <w:t>A few facts about disability and the arts in Australia</w:t>
      </w:r>
    </w:p>
    <w:p w14:paraId="5A8AF142" w14:textId="77777777" w:rsidR="0077534D" w:rsidRDefault="0077534D" w:rsidP="0077534D">
      <w:pPr>
        <w:rPr>
          <w:rFonts w:cstheme="minorHAnsi"/>
        </w:rPr>
      </w:pPr>
    </w:p>
    <w:p w14:paraId="12618C27" w14:textId="78D557D6" w:rsidR="00E03089" w:rsidRPr="0077534D" w:rsidRDefault="00E03089" w:rsidP="0077534D">
      <w:pPr>
        <w:rPr>
          <w:rFonts w:cstheme="minorHAnsi"/>
          <w:i/>
        </w:rPr>
      </w:pPr>
      <w:r w:rsidRPr="0077534D">
        <w:rPr>
          <w:rFonts w:cstheme="minorHAnsi"/>
        </w:rPr>
        <w:t>“</w:t>
      </w:r>
      <w:r w:rsidR="007D2535" w:rsidRPr="0077534D">
        <w:rPr>
          <w:rFonts w:cstheme="minorHAnsi"/>
        </w:rPr>
        <w:t xml:space="preserve">The majority of Australians believe the </w:t>
      </w:r>
      <w:r w:rsidR="003B22C8">
        <w:rPr>
          <w:rFonts w:cstheme="minorHAnsi"/>
        </w:rPr>
        <w:softHyphen/>
      </w:r>
      <w:r w:rsidR="003B22C8">
        <w:rPr>
          <w:rFonts w:cstheme="minorHAnsi"/>
        </w:rPr>
        <w:softHyphen/>
      </w:r>
      <w:r w:rsidR="003B22C8">
        <w:rPr>
          <w:rFonts w:cstheme="minorHAnsi"/>
        </w:rPr>
        <w:softHyphen/>
      </w:r>
      <w:r w:rsidR="007D2535" w:rsidRPr="0077534D">
        <w:rPr>
          <w:rFonts w:cstheme="minorHAnsi"/>
        </w:rPr>
        <w:t>arts help us express our identity, get different perspectives on an issue, and understand other people and culture</w:t>
      </w:r>
      <w:r w:rsidR="00923D41">
        <w:rPr>
          <w:rFonts w:cstheme="minorHAnsi"/>
        </w:rPr>
        <w:t>s</w:t>
      </w:r>
      <w:r w:rsidR="005963AB">
        <w:rPr>
          <w:rFonts w:cstheme="minorHAnsi"/>
        </w:rPr>
        <w:t>.</w:t>
      </w:r>
      <w:r w:rsidR="005963AB">
        <w:rPr>
          <w:rFonts w:cstheme="minorHAnsi"/>
          <w:vertAlign w:val="superscript"/>
        </w:rPr>
        <w:t>1</w:t>
      </w:r>
      <w:r w:rsidR="00923D41">
        <w:rPr>
          <w:rFonts w:cstheme="minorHAnsi"/>
        </w:rPr>
        <w:t xml:space="preserve"> </w:t>
      </w:r>
      <w:r w:rsidRPr="0077534D">
        <w:rPr>
          <w:rFonts w:cstheme="minorHAnsi"/>
        </w:rPr>
        <w:t xml:space="preserve">For the arts to provide this value, it is important that our artists reflect the diversity of Australia.” – </w:t>
      </w:r>
      <w:r w:rsidRPr="0077534D">
        <w:rPr>
          <w:rFonts w:cstheme="minorHAnsi"/>
          <w:i/>
        </w:rPr>
        <w:t>Australia Council for the Arts, in their summary and response to Making Art Work</w:t>
      </w:r>
      <w:r w:rsidR="0077534D" w:rsidRPr="0077534D">
        <w:rPr>
          <w:rFonts w:cstheme="minorHAnsi"/>
          <w:i/>
        </w:rPr>
        <w:t>, 2017.</w:t>
      </w:r>
    </w:p>
    <w:p w14:paraId="434A81F2" w14:textId="77777777" w:rsidR="007D2535" w:rsidRPr="0077534D" w:rsidRDefault="007D2535" w:rsidP="0077534D">
      <w:pPr>
        <w:rPr>
          <w:rFonts w:cstheme="minorHAnsi"/>
          <w:color w:val="000000"/>
          <w:lang w:val="en-US"/>
        </w:rPr>
      </w:pPr>
    </w:p>
    <w:p w14:paraId="596AEE0C" w14:textId="5B68D6BB" w:rsidR="0086789E" w:rsidRPr="00923D41" w:rsidRDefault="007D2535" w:rsidP="0077534D">
      <w:pPr>
        <w:rPr>
          <w:rFonts w:cstheme="minorHAnsi"/>
          <w:color w:val="000000"/>
          <w:lang w:val="en-US"/>
        </w:rPr>
      </w:pPr>
      <w:r w:rsidRPr="00923D41">
        <w:rPr>
          <w:rFonts w:cstheme="minorHAnsi"/>
          <w:color w:val="000000"/>
          <w:lang w:val="en-US"/>
        </w:rPr>
        <w:t>And yet</w:t>
      </w:r>
      <w:r w:rsidR="00E03089" w:rsidRPr="00923D41">
        <w:rPr>
          <w:rFonts w:cstheme="minorHAnsi"/>
          <w:color w:val="000000"/>
          <w:lang w:val="en-US"/>
        </w:rPr>
        <w:t xml:space="preserve">… </w:t>
      </w:r>
      <w:r w:rsidRPr="00923D41">
        <w:rPr>
          <w:rFonts w:cstheme="minorHAnsi"/>
          <w:color w:val="000000"/>
          <w:lang w:val="en-US"/>
        </w:rPr>
        <w:t xml:space="preserve"> </w:t>
      </w:r>
    </w:p>
    <w:p w14:paraId="763B20FE" w14:textId="7949176B" w:rsidR="0086789E" w:rsidRPr="0077534D" w:rsidRDefault="00923D41" w:rsidP="0077534D">
      <w:pPr>
        <w:pStyle w:val="Heading1"/>
        <w:rPr>
          <w:rFonts w:eastAsia="Times New Roman"/>
        </w:rPr>
      </w:pPr>
      <w:r>
        <w:rPr>
          <w:rFonts w:eastAsia="Times New Roman"/>
        </w:rPr>
        <w:t>Artists are earning less than in previous years…</w:t>
      </w:r>
    </w:p>
    <w:p w14:paraId="556D99EC" w14:textId="77777777" w:rsidR="0086789E" w:rsidRPr="0077534D" w:rsidRDefault="0086789E" w:rsidP="0077534D">
      <w:pPr>
        <w:rPr>
          <w:rFonts w:cstheme="minorHAnsi"/>
          <w:color w:val="000000"/>
          <w:lang w:val="en-US"/>
        </w:rPr>
      </w:pPr>
    </w:p>
    <w:p w14:paraId="68B6D111" w14:textId="30731CB5" w:rsidR="0086789E" w:rsidRPr="0077534D" w:rsidRDefault="0086789E" w:rsidP="0077534D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77534D">
        <w:rPr>
          <w:rFonts w:eastAsia="Times New Roman" w:cstheme="minorHAnsi"/>
        </w:rPr>
        <w:t>Artists are earning 19% less from their creative work than in 2009, even though they continue to dedicate at least half of their working hours towards their creative practice.</w:t>
      </w:r>
      <w:r w:rsidR="005963AB">
        <w:rPr>
          <w:rFonts w:eastAsia="Times New Roman" w:cstheme="minorHAnsi"/>
          <w:vertAlign w:val="superscript"/>
        </w:rPr>
        <w:t>2</w:t>
      </w:r>
    </w:p>
    <w:p w14:paraId="487F6D50" w14:textId="77777777" w:rsidR="0086789E" w:rsidRPr="0077534D" w:rsidRDefault="0086789E" w:rsidP="0077534D">
      <w:pPr>
        <w:rPr>
          <w:rFonts w:cstheme="minorHAnsi"/>
          <w:color w:val="000000"/>
          <w:lang w:val="en-US"/>
        </w:rPr>
      </w:pPr>
    </w:p>
    <w:p w14:paraId="789DDEA2" w14:textId="1F2BDC80" w:rsidR="0086789E" w:rsidRPr="0077534D" w:rsidRDefault="0086789E" w:rsidP="0077534D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77534D">
        <w:rPr>
          <w:rFonts w:eastAsia="Times New Roman" w:cstheme="minorHAnsi"/>
        </w:rPr>
        <w:t>Artists now report a lack of income from creative work as being the biggest barrier to professional development. In 2009, the biggest barrier was a lack of time</w:t>
      </w:r>
      <w:r w:rsidR="00923D41">
        <w:rPr>
          <w:rFonts w:eastAsia="Times New Roman" w:cstheme="minorHAnsi"/>
        </w:rPr>
        <w:t>.</w:t>
      </w:r>
      <w:r w:rsidR="005963AB">
        <w:rPr>
          <w:rFonts w:eastAsia="Times New Roman" w:cstheme="minorHAnsi"/>
          <w:vertAlign w:val="superscript"/>
        </w:rPr>
        <w:t>3,4</w:t>
      </w:r>
    </w:p>
    <w:p w14:paraId="5B72F1D9" w14:textId="097C2647" w:rsidR="0086789E" w:rsidRPr="0077534D" w:rsidRDefault="0086789E" w:rsidP="0077534D">
      <w:pPr>
        <w:pStyle w:val="Heading1"/>
        <w:rPr>
          <w:lang w:val="en-US"/>
        </w:rPr>
      </w:pPr>
      <w:r w:rsidRPr="0077534D">
        <w:rPr>
          <w:lang w:val="en-US"/>
        </w:rPr>
        <w:t xml:space="preserve">And when it comes to artists with disability, </w:t>
      </w:r>
      <w:r w:rsidR="00923D41">
        <w:rPr>
          <w:lang w:val="en-US"/>
        </w:rPr>
        <w:t>they are earning</w:t>
      </w:r>
      <w:r w:rsidRPr="0077534D">
        <w:rPr>
          <w:lang w:val="en-US"/>
        </w:rPr>
        <w:t xml:space="preserve"> even less!</w:t>
      </w:r>
    </w:p>
    <w:p w14:paraId="63B4FB8E" w14:textId="77777777" w:rsidR="0086789E" w:rsidRPr="0077534D" w:rsidRDefault="0086789E" w:rsidP="0077534D">
      <w:pPr>
        <w:rPr>
          <w:rFonts w:cstheme="minorHAnsi"/>
          <w:color w:val="000000"/>
          <w:lang w:val="en-US"/>
        </w:rPr>
      </w:pPr>
    </w:p>
    <w:p w14:paraId="3A8D4459" w14:textId="308C1B74" w:rsidR="00EB17B4" w:rsidRPr="0077534D" w:rsidRDefault="00923D41" w:rsidP="0077534D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>Artists with disability earn less than half</w:t>
      </w:r>
      <w:r w:rsidR="00F8735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that of artists without disability for their creative work, </w:t>
      </w:r>
      <w:r w:rsidR="0086789E" w:rsidRPr="0077534D">
        <w:rPr>
          <w:rFonts w:eastAsia="Times New Roman" w:cstheme="minorHAnsi"/>
        </w:rPr>
        <w:t xml:space="preserve">even though </w:t>
      </w:r>
      <w:r>
        <w:rPr>
          <w:rFonts w:eastAsia="Times New Roman" w:cstheme="minorHAnsi"/>
        </w:rPr>
        <w:t>they have similar</w:t>
      </w:r>
      <w:r w:rsidR="0086789E" w:rsidRPr="0077534D">
        <w:rPr>
          <w:rFonts w:eastAsia="Times New Roman" w:cstheme="minorHAnsi"/>
        </w:rPr>
        <w:t xml:space="preserve"> creative </w:t>
      </w:r>
      <w:r>
        <w:rPr>
          <w:rFonts w:eastAsia="Times New Roman" w:cstheme="minorHAnsi"/>
        </w:rPr>
        <w:t>expenses</w:t>
      </w:r>
      <w:r w:rsidR="0077534D" w:rsidRPr="0077534D">
        <w:rPr>
          <w:rFonts w:eastAsia="Times New Roman" w:cstheme="minorHAnsi"/>
        </w:rPr>
        <w:t>.</w:t>
      </w:r>
      <w:r w:rsidR="005963AB">
        <w:rPr>
          <w:rFonts w:eastAsia="Times New Roman" w:cstheme="minorHAnsi"/>
          <w:vertAlign w:val="superscript"/>
        </w:rPr>
        <w:t>3</w:t>
      </w:r>
    </w:p>
    <w:p w14:paraId="5883DB67" w14:textId="1529752F" w:rsidR="00EB17B4" w:rsidRPr="0077534D" w:rsidRDefault="001075EE" w:rsidP="0077534D">
      <w:pPr>
        <w:pStyle w:val="Heading1"/>
        <w:rPr>
          <w:lang w:val="en-US"/>
        </w:rPr>
      </w:pPr>
      <w:r>
        <w:rPr>
          <w:lang w:val="en-US"/>
        </w:rPr>
        <w:t>And t</w:t>
      </w:r>
      <w:r w:rsidR="00EB17B4" w:rsidRPr="0077534D">
        <w:rPr>
          <w:lang w:val="en-US"/>
        </w:rPr>
        <w:t>he situation is getting worse</w:t>
      </w:r>
      <w:r w:rsidR="00923D41">
        <w:rPr>
          <w:lang w:val="en-US"/>
        </w:rPr>
        <w:t>.</w:t>
      </w:r>
    </w:p>
    <w:p w14:paraId="5584ECC9" w14:textId="77777777" w:rsidR="00EB17B4" w:rsidRPr="0077534D" w:rsidRDefault="00EB17B4" w:rsidP="0077534D">
      <w:pPr>
        <w:rPr>
          <w:rFonts w:cstheme="minorHAnsi"/>
          <w:color w:val="000000"/>
          <w:lang w:val="en-US"/>
        </w:rPr>
      </w:pPr>
    </w:p>
    <w:p w14:paraId="396668BD" w14:textId="7C10E304" w:rsidR="00EB17B4" w:rsidRPr="00923D41" w:rsidRDefault="00612B7A" w:rsidP="0077534D">
      <w:pPr>
        <w:pStyle w:val="ListParagraph"/>
        <w:numPr>
          <w:ilvl w:val="0"/>
          <w:numId w:val="9"/>
        </w:numPr>
        <w:rPr>
          <w:rFonts w:cstheme="minorHAnsi"/>
          <w:color w:val="000000"/>
          <w:lang w:val="en-US"/>
        </w:rPr>
      </w:pPr>
      <w:r w:rsidRPr="00923D41">
        <w:rPr>
          <w:rFonts w:cstheme="minorHAnsi"/>
          <w:color w:val="000000"/>
          <w:lang w:val="en-US"/>
        </w:rPr>
        <w:t xml:space="preserve">In 2014/15 the total income disability pay gap for professional artists was 42%. </w:t>
      </w:r>
      <w:r w:rsidR="00EB17B4" w:rsidRPr="00923D41">
        <w:rPr>
          <w:rFonts w:cstheme="minorHAnsi"/>
          <w:color w:val="000000"/>
          <w:lang w:val="en-US"/>
        </w:rPr>
        <w:t xml:space="preserve">In </w:t>
      </w:r>
      <w:r w:rsidRPr="00923D41">
        <w:rPr>
          <w:rFonts w:cstheme="minorHAnsi"/>
          <w:color w:val="000000"/>
          <w:lang w:val="en-US"/>
        </w:rPr>
        <w:t>2007/</w:t>
      </w:r>
      <w:r w:rsidR="00EB17B4" w:rsidRPr="00923D41">
        <w:rPr>
          <w:rFonts w:cstheme="minorHAnsi"/>
          <w:color w:val="000000"/>
          <w:lang w:val="en-US"/>
        </w:rPr>
        <w:t xml:space="preserve">08, the gap </w:t>
      </w:r>
      <w:r w:rsidRPr="00923D41">
        <w:rPr>
          <w:rFonts w:cstheme="minorHAnsi"/>
          <w:color w:val="000000"/>
          <w:lang w:val="en-US"/>
        </w:rPr>
        <w:t>was 9</w:t>
      </w:r>
      <w:r w:rsidR="00EB17B4" w:rsidRPr="00923D41">
        <w:rPr>
          <w:rFonts w:cstheme="minorHAnsi"/>
          <w:color w:val="000000"/>
          <w:lang w:val="en-US"/>
        </w:rPr>
        <w:t>%.</w:t>
      </w:r>
      <w:r w:rsidR="005963AB">
        <w:rPr>
          <w:rFonts w:cstheme="minorHAnsi"/>
          <w:color w:val="000000"/>
          <w:vertAlign w:val="superscript"/>
          <w:lang w:val="en-US"/>
        </w:rPr>
        <w:t>3,4</w:t>
      </w:r>
    </w:p>
    <w:p w14:paraId="28CCDC73" w14:textId="77777777" w:rsidR="0086789E" w:rsidRPr="0077534D" w:rsidRDefault="0086789E" w:rsidP="00923D41">
      <w:pPr>
        <w:pStyle w:val="Heading1"/>
        <w:rPr>
          <w:lang w:val="en-US"/>
        </w:rPr>
      </w:pPr>
      <w:r w:rsidRPr="0077534D">
        <w:rPr>
          <w:lang w:val="en-US"/>
        </w:rPr>
        <w:t>Our artists with disability find it hard to get work…</w:t>
      </w:r>
    </w:p>
    <w:p w14:paraId="5631EDAF" w14:textId="77777777" w:rsidR="0086789E" w:rsidRPr="0077534D" w:rsidRDefault="0086789E" w:rsidP="0077534D">
      <w:pPr>
        <w:rPr>
          <w:rFonts w:cstheme="minorHAnsi"/>
          <w:color w:val="000000"/>
          <w:lang w:val="en-US"/>
        </w:rPr>
      </w:pPr>
    </w:p>
    <w:p w14:paraId="54783E78" w14:textId="34504DA5" w:rsidR="0086789E" w:rsidRPr="00923D41" w:rsidRDefault="0086789E" w:rsidP="00923D41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23D41">
        <w:rPr>
          <w:rFonts w:eastAsia="Times New Roman" w:cstheme="minorHAnsi"/>
        </w:rPr>
        <w:t>Nearly 60% of all arts and cultural organisations do not currently employ (or do not know if they employ) a person with disability.</w:t>
      </w:r>
      <w:r w:rsidR="005963AB">
        <w:rPr>
          <w:rFonts w:eastAsia="Times New Roman" w:cstheme="minorHAnsi"/>
          <w:vertAlign w:val="superscript"/>
        </w:rPr>
        <w:t>5</w:t>
      </w:r>
    </w:p>
    <w:p w14:paraId="24017104" w14:textId="77777777" w:rsidR="0086789E" w:rsidRPr="0077534D" w:rsidRDefault="0086789E" w:rsidP="0077534D">
      <w:pPr>
        <w:rPr>
          <w:rFonts w:cstheme="minorHAnsi"/>
        </w:rPr>
      </w:pPr>
    </w:p>
    <w:p w14:paraId="66595DC0" w14:textId="5F5D8C46" w:rsidR="0086789E" w:rsidRPr="00923D41" w:rsidRDefault="00923D41" w:rsidP="00923D41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>Artists with disability are more likely to be unemployed than artists without disability (a</w:t>
      </w:r>
      <w:r w:rsidR="0086789E" w:rsidRPr="00923D41">
        <w:rPr>
          <w:rFonts w:eastAsia="Times New Roman" w:cstheme="minorHAnsi"/>
        </w:rPr>
        <w:t xml:space="preserve">bout one-third </w:t>
      </w:r>
      <w:r>
        <w:rPr>
          <w:rFonts w:eastAsia="Times New Roman" w:cstheme="minorHAnsi"/>
        </w:rPr>
        <w:t xml:space="preserve">versus </w:t>
      </w:r>
      <w:r w:rsidR="0086789E" w:rsidRPr="00923D41">
        <w:rPr>
          <w:rFonts w:eastAsia="Times New Roman" w:cstheme="minorHAnsi"/>
        </w:rPr>
        <w:t>one</w:t>
      </w:r>
      <w:r>
        <w:rPr>
          <w:rFonts w:eastAsia="Times New Roman" w:cstheme="minorHAnsi"/>
        </w:rPr>
        <w:t>-</w:t>
      </w:r>
      <w:r w:rsidR="0086789E" w:rsidRPr="00923D41">
        <w:rPr>
          <w:rFonts w:eastAsia="Times New Roman" w:cstheme="minorHAnsi"/>
        </w:rPr>
        <w:t>quarter</w:t>
      </w:r>
      <w:r>
        <w:rPr>
          <w:rFonts w:eastAsia="Times New Roman" w:cstheme="minorHAnsi"/>
        </w:rPr>
        <w:t>), and to spend longer in unemployment</w:t>
      </w:r>
      <w:r w:rsidR="0086789E" w:rsidRPr="00923D41">
        <w:rPr>
          <w:rFonts w:eastAsia="Times New Roman" w:cstheme="minorHAnsi"/>
        </w:rPr>
        <w:t>.</w:t>
      </w:r>
      <w:r w:rsidR="005963AB">
        <w:rPr>
          <w:rFonts w:eastAsia="Times New Roman" w:cstheme="minorHAnsi"/>
          <w:vertAlign w:val="superscript"/>
        </w:rPr>
        <w:t>3</w:t>
      </w:r>
    </w:p>
    <w:p w14:paraId="0D6E6A8A" w14:textId="77777777" w:rsidR="0086789E" w:rsidRPr="0077534D" w:rsidRDefault="0086789E" w:rsidP="0077534D">
      <w:pPr>
        <w:rPr>
          <w:rFonts w:cstheme="minorHAnsi"/>
        </w:rPr>
      </w:pPr>
    </w:p>
    <w:p w14:paraId="5FF9F72A" w14:textId="678D093D" w:rsidR="0086789E" w:rsidRPr="00923D41" w:rsidRDefault="0086789E" w:rsidP="00923D41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23D41">
        <w:rPr>
          <w:rFonts w:eastAsia="Times New Roman" w:cstheme="minorHAnsi"/>
        </w:rPr>
        <w:t>Almost one in five artists with a disability indicate that having a disability has been the most important factor inhibiting their professional development, both throughout their career and at the present time</w:t>
      </w:r>
      <w:r w:rsidR="00923D41">
        <w:rPr>
          <w:rFonts w:eastAsia="Times New Roman" w:cstheme="minorHAnsi"/>
        </w:rPr>
        <w:t>.</w:t>
      </w:r>
      <w:r w:rsidR="005963AB">
        <w:rPr>
          <w:rFonts w:eastAsia="Times New Roman" w:cstheme="minorHAnsi"/>
          <w:vertAlign w:val="superscript"/>
        </w:rPr>
        <w:t>3</w:t>
      </w:r>
    </w:p>
    <w:p w14:paraId="138BE798" w14:textId="77777777" w:rsidR="0086789E" w:rsidRPr="0077534D" w:rsidRDefault="0086789E" w:rsidP="0077534D">
      <w:pPr>
        <w:rPr>
          <w:rFonts w:cstheme="minorHAnsi"/>
        </w:rPr>
      </w:pPr>
    </w:p>
    <w:p w14:paraId="794063D1" w14:textId="77777777" w:rsidR="0086789E" w:rsidRPr="0077534D" w:rsidRDefault="0086789E" w:rsidP="007A2C75">
      <w:pPr>
        <w:pStyle w:val="Heading1"/>
        <w:rPr>
          <w:rFonts w:eastAsia="Times New Roman"/>
        </w:rPr>
      </w:pPr>
      <w:r w:rsidRPr="0077534D">
        <w:rPr>
          <w:rFonts w:eastAsia="Times New Roman"/>
        </w:rPr>
        <w:lastRenderedPageBreak/>
        <w:t>And there is little support to improve employment for artists with disability.</w:t>
      </w:r>
    </w:p>
    <w:p w14:paraId="36425292" w14:textId="77777777" w:rsidR="0086789E" w:rsidRPr="0077534D" w:rsidRDefault="0086789E" w:rsidP="0077534D">
      <w:pPr>
        <w:rPr>
          <w:rFonts w:cstheme="minorHAnsi"/>
        </w:rPr>
      </w:pPr>
    </w:p>
    <w:p w14:paraId="29667871" w14:textId="148C9F92" w:rsidR="0086789E" w:rsidRPr="007A2C75" w:rsidRDefault="0086789E" w:rsidP="007A2C75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7A2C75">
        <w:rPr>
          <w:rFonts w:eastAsia="Times New Roman" w:cstheme="minorHAnsi"/>
        </w:rPr>
        <w:t>Less than 40% of arts and cultural organisations have a current Disability Action Plan in place.</w:t>
      </w:r>
      <w:r w:rsidR="005963AB">
        <w:rPr>
          <w:rFonts w:eastAsia="Times New Roman" w:cstheme="minorHAnsi"/>
          <w:vertAlign w:val="superscript"/>
        </w:rPr>
        <w:t>5</w:t>
      </w:r>
    </w:p>
    <w:p w14:paraId="5B2752E0" w14:textId="77777777" w:rsidR="00725269" w:rsidRPr="0077534D" w:rsidRDefault="00725269" w:rsidP="0077534D">
      <w:pPr>
        <w:rPr>
          <w:rFonts w:cstheme="minorHAnsi"/>
        </w:rPr>
      </w:pPr>
    </w:p>
    <w:p w14:paraId="0EA354B0" w14:textId="236BC612" w:rsidR="006B1ABE" w:rsidRPr="007A2C75" w:rsidRDefault="00F87351" w:rsidP="007A2C75">
      <w:pPr>
        <w:pStyle w:val="ListParagraph"/>
        <w:numPr>
          <w:ilvl w:val="0"/>
          <w:numId w:val="10"/>
        </w:numPr>
        <w:rPr>
          <w:rFonts w:cstheme="minorHAnsi"/>
          <w:color w:val="000000"/>
          <w:lang w:val="en-US"/>
        </w:rPr>
      </w:pPr>
      <w:r>
        <w:rPr>
          <w:rFonts w:eastAsia="Times New Roman" w:cstheme="minorHAnsi"/>
        </w:rPr>
        <w:t xml:space="preserve">People with disability experience workplace discrimination that is </w:t>
      </w:r>
      <w:r w:rsidR="006B1ABE" w:rsidRPr="007A2C75">
        <w:rPr>
          <w:rFonts w:eastAsia="Times New Roman" w:cstheme="minorHAnsi"/>
        </w:rPr>
        <w:t>widespread, ongoing and systemic</w:t>
      </w:r>
      <w:r w:rsidR="006B1ABE" w:rsidRPr="007A2C75">
        <w:rPr>
          <w:rFonts w:cstheme="minorHAnsi"/>
          <w:color w:val="000000"/>
          <w:lang w:val="en-US"/>
        </w:rPr>
        <w:t>.</w:t>
      </w:r>
      <w:r w:rsidR="005963AB">
        <w:rPr>
          <w:rFonts w:cstheme="minorHAnsi"/>
          <w:color w:val="000000"/>
          <w:vertAlign w:val="superscript"/>
          <w:lang w:val="en-US"/>
        </w:rPr>
        <w:t>6</w:t>
      </w:r>
    </w:p>
    <w:p w14:paraId="2AF49A56" w14:textId="77777777" w:rsidR="006B1ABE" w:rsidRPr="0077534D" w:rsidRDefault="006B1ABE" w:rsidP="0077534D">
      <w:pPr>
        <w:rPr>
          <w:rFonts w:cstheme="minorHAnsi"/>
        </w:rPr>
      </w:pPr>
    </w:p>
    <w:p w14:paraId="083D3895" w14:textId="74A6AC64" w:rsidR="00EB17B4" w:rsidRPr="005963AB" w:rsidRDefault="006B1ABE" w:rsidP="0077534D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7A2C75">
        <w:rPr>
          <w:rFonts w:eastAsia="Times New Roman" w:cstheme="minorHAnsi"/>
        </w:rPr>
        <w:t>At least 50% of artists with disability are self-employed or freelance, yet there are limited protections for discrimination for people with disability who do not have a fixed employer.</w:t>
      </w:r>
      <w:r w:rsidR="005963AB">
        <w:rPr>
          <w:rFonts w:eastAsia="Times New Roman" w:cstheme="minorHAnsi"/>
          <w:vertAlign w:val="superscript"/>
        </w:rPr>
        <w:t>5 6</w:t>
      </w:r>
    </w:p>
    <w:p w14:paraId="2FB061B4" w14:textId="1DF37AB9" w:rsidR="00EB17B4" w:rsidRPr="0077534D" w:rsidRDefault="001368A4" w:rsidP="001368A4">
      <w:pPr>
        <w:pStyle w:val="Heading1"/>
        <w:rPr>
          <w:rFonts w:eastAsia="Times New Roman"/>
        </w:rPr>
      </w:pPr>
      <w:r>
        <w:rPr>
          <w:rFonts w:eastAsia="Times New Roman"/>
        </w:rPr>
        <w:t>Plus</w:t>
      </w:r>
      <w:r w:rsidR="00F87351">
        <w:rPr>
          <w:rFonts w:eastAsia="Times New Roman"/>
        </w:rPr>
        <w:t>,</w:t>
      </w:r>
      <w:r w:rsidR="00EB17B4" w:rsidRPr="0077534D">
        <w:rPr>
          <w:rFonts w:eastAsia="Times New Roman"/>
        </w:rPr>
        <w:t xml:space="preserve"> </w:t>
      </w:r>
      <w:r w:rsidR="00725269" w:rsidRPr="0077534D">
        <w:rPr>
          <w:rFonts w:eastAsia="Times New Roman"/>
        </w:rPr>
        <w:t xml:space="preserve">barriers to </w:t>
      </w:r>
      <w:r w:rsidR="00F87351">
        <w:rPr>
          <w:rFonts w:eastAsia="Times New Roman"/>
        </w:rPr>
        <w:t xml:space="preserve">accessing </w:t>
      </w:r>
      <w:r w:rsidR="00725269" w:rsidRPr="0077534D">
        <w:rPr>
          <w:rFonts w:eastAsia="Times New Roman"/>
        </w:rPr>
        <w:t>funding still exist.</w:t>
      </w:r>
    </w:p>
    <w:p w14:paraId="1CA10B5D" w14:textId="77777777" w:rsidR="00EB17B4" w:rsidRPr="0077534D" w:rsidRDefault="00EB17B4" w:rsidP="0077534D">
      <w:pPr>
        <w:rPr>
          <w:rFonts w:cstheme="minorHAnsi"/>
        </w:rPr>
      </w:pPr>
    </w:p>
    <w:p w14:paraId="693DA182" w14:textId="7E02484C" w:rsidR="00725269" w:rsidRPr="001368A4" w:rsidRDefault="00725269" w:rsidP="001368A4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1368A4">
        <w:rPr>
          <w:rFonts w:eastAsia="Times New Roman" w:cstheme="minorHAnsi"/>
        </w:rPr>
        <w:t>9% of artists identify as having a disability</w:t>
      </w:r>
      <w:r w:rsidR="005963AB">
        <w:rPr>
          <w:rFonts w:eastAsia="Times New Roman" w:cstheme="minorHAnsi"/>
          <w:vertAlign w:val="superscript"/>
        </w:rPr>
        <w:t>3</w:t>
      </w:r>
      <w:r w:rsidRPr="001368A4">
        <w:rPr>
          <w:rFonts w:eastAsia="Times New Roman" w:cstheme="minorHAnsi"/>
        </w:rPr>
        <w:t>, yet:</w:t>
      </w:r>
    </w:p>
    <w:p w14:paraId="7C69F74D" w14:textId="77777777" w:rsidR="00725269" w:rsidRPr="0077534D" w:rsidRDefault="00725269" w:rsidP="0077534D">
      <w:pPr>
        <w:rPr>
          <w:rFonts w:cstheme="minorHAnsi"/>
        </w:rPr>
      </w:pPr>
    </w:p>
    <w:p w14:paraId="08414794" w14:textId="4B314F98" w:rsidR="00725269" w:rsidRPr="001368A4" w:rsidRDefault="00725269" w:rsidP="001368A4">
      <w:pPr>
        <w:pStyle w:val="ListParagraph"/>
        <w:numPr>
          <w:ilvl w:val="0"/>
          <w:numId w:val="11"/>
        </w:numPr>
        <w:ind w:left="1080"/>
        <w:rPr>
          <w:rFonts w:eastAsia="Times New Roman" w:cstheme="minorHAnsi"/>
        </w:rPr>
      </w:pPr>
      <w:r w:rsidRPr="001368A4">
        <w:rPr>
          <w:rFonts w:eastAsia="Times New Roman" w:cstheme="minorHAnsi"/>
        </w:rPr>
        <w:t xml:space="preserve">Only 4% of artists and personnel </w:t>
      </w:r>
      <w:r w:rsidR="00F87351">
        <w:rPr>
          <w:rFonts w:eastAsia="Times New Roman" w:cstheme="minorHAnsi"/>
        </w:rPr>
        <w:t xml:space="preserve">who were </w:t>
      </w:r>
      <w:r w:rsidRPr="001368A4">
        <w:rPr>
          <w:rFonts w:eastAsia="Times New Roman" w:cstheme="minorHAnsi"/>
        </w:rPr>
        <w:t xml:space="preserve">involved in projects that received funding from the Department of Communications and the Arts via their </w:t>
      </w:r>
      <w:proofErr w:type="spellStart"/>
      <w:r w:rsidRPr="001368A4">
        <w:rPr>
          <w:rFonts w:eastAsia="Times New Roman" w:cstheme="minorHAnsi"/>
        </w:rPr>
        <w:t>Smartygrants</w:t>
      </w:r>
      <w:proofErr w:type="spellEnd"/>
      <w:r w:rsidRPr="001368A4">
        <w:rPr>
          <w:rFonts w:eastAsia="Times New Roman" w:cstheme="minorHAnsi"/>
        </w:rPr>
        <w:t xml:space="preserve"> system</w:t>
      </w:r>
      <w:r w:rsidR="00F87351">
        <w:rPr>
          <w:rFonts w:eastAsia="Times New Roman" w:cstheme="minorHAnsi"/>
        </w:rPr>
        <w:t xml:space="preserve"> (</w:t>
      </w:r>
      <w:r w:rsidRPr="001368A4">
        <w:rPr>
          <w:rFonts w:eastAsia="Times New Roman" w:cstheme="minorHAnsi"/>
        </w:rPr>
        <w:t>which has been in place since 2015</w:t>
      </w:r>
      <w:r w:rsidR="00F87351">
        <w:rPr>
          <w:rFonts w:eastAsia="Times New Roman" w:cstheme="minorHAnsi"/>
        </w:rPr>
        <w:t xml:space="preserve">) </w:t>
      </w:r>
      <w:r w:rsidRPr="001368A4">
        <w:rPr>
          <w:rFonts w:eastAsia="Times New Roman" w:cstheme="minorHAnsi"/>
        </w:rPr>
        <w:t>identif</w:t>
      </w:r>
      <w:r w:rsidR="00F87351">
        <w:rPr>
          <w:rFonts w:eastAsia="Times New Roman" w:cstheme="minorHAnsi"/>
        </w:rPr>
        <w:t>ied</w:t>
      </w:r>
      <w:r w:rsidRPr="001368A4">
        <w:rPr>
          <w:rFonts w:eastAsia="Times New Roman" w:cstheme="minorHAnsi"/>
        </w:rPr>
        <w:t xml:space="preserve"> as having disability.</w:t>
      </w:r>
      <w:r w:rsidR="005963AB">
        <w:rPr>
          <w:rFonts w:eastAsia="Times New Roman" w:cstheme="minorHAnsi"/>
          <w:vertAlign w:val="superscript"/>
        </w:rPr>
        <w:t>7</w:t>
      </w:r>
    </w:p>
    <w:p w14:paraId="4B639CF5" w14:textId="1C12C5DE" w:rsidR="00725269" w:rsidRPr="0077534D" w:rsidRDefault="00725269" w:rsidP="001368A4">
      <w:pPr>
        <w:ind w:left="360"/>
        <w:rPr>
          <w:rFonts w:cstheme="minorHAnsi"/>
        </w:rPr>
      </w:pPr>
    </w:p>
    <w:p w14:paraId="75662DDB" w14:textId="5B07F264" w:rsidR="0086789E" w:rsidRPr="005963AB" w:rsidRDefault="00725269" w:rsidP="0077534D">
      <w:pPr>
        <w:pStyle w:val="ListParagraph"/>
        <w:numPr>
          <w:ilvl w:val="0"/>
          <w:numId w:val="11"/>
        </w:numPr>
        <w:ind w:left="1080"/>
        <w:rPr>
          <w:rFonts w:eastAsia="Times New Roman" w:cstheme="minorHAnsi"/>
        </w:rPr>
      </w:pPr>
      <w:r w:rsidRPr="001368A4">
        <w:rPr>
          <w:rFonts w:eastAsia="Times New Roman" w:cstheme="minorHAnsi"/>
        </w:rPr>
        <w:t>Only 7% of applications to Australia Council’s core grants programs (Individuals) identified as having disability.</w:t>
      </w:r>
      <w:r w:rsidR="001368A4">
        <w:rPr>
          <w:rStyle w:val="EndnoteReference"/>
          <w:rFonts w:eastAsia="Times New Roman" w:cstheme="minorHAnsi"/>
        </w:rPr>
        <w:endnoteReference w:customMarkFollows="1" w:id="1"/>
        <w:t>2</w:t>
      </w:r>
    </w:p>
    <w:p w14:paraId="6BFA1F72" w14:textId="77777777" w:rsidR="0086789E" w:rsidRPr="0077534D" w:rsidRDefault="0086789E" w:rsidP="00F87351">
      <w:pPr>
        <w:pStyle w:val="Heading1"/>
        <w:rPr>
          <w:lang w:val="en-US"/>
        </w:rPr>
      </w:pPr>
      <w:r w:rsidRPr="0077534D">
        <w:rPr>
          <w:lang w:val="en-US"/>
        </w:rPr>
        <w:t xml:space="preserve">So perhaps it isn’t surprising that </w:t>
      </w:r>
      <w:r w:rsidR="00EB17B4" w:rsidRPr="0077534D">
        <w:rPr>
          <w:lang w:val="en-US"/>
        </w:rPr>
        <w:t xml:space="preserve">people </w:t>
      </w:r>
      <w:r w:rsidRPr="0077534D">
        <w:rPr>
          <w:lang w:val="en-US"/>
        </w:rPr>
        <w:t>with disability are under-represented</w:t>
      </w:r>
      <w:r w:rsidR="00EB17B4" w:rsidRPr="0077534D">
        <w:rPr>
          <w:lang w:val="en-US"/>
        </w:rPr>
        <w:t xml:space="preserve"> in the arts</w:t>
      </w:r>
    </w:p>
    <w:p w14:paraId="75954009" w14:textId="77777777" w:rsidR="00EB17B4" w:rsidRPr="0077534D" w:rsidRDefault="00EB17B4" w:rsidP="0077534D">
      <w:pPr>
        <w:rPr>
          <w:rFonts w:cstheme="minorHAnsi"/>
          <w:color w:val="000000"/>
          <w:lang w:val="en-US"/>
        </w:rPr>
      </w:pPr>
    </w:p>
    <w:p w14:paraId="57F81F20" w14:textId="39710FA0" w:rsidR="0037221B" w:rsidRPr="0012621D" w:rsidRDefault="00F87351" w:rsidP="0037221B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Just</w:t>
      </w:r>
      <w:r w:rsidR="0086789E" w:rsidRPr="00F87351">
        <w:rPr>
          <w:rFonts w:eastAsia="Times New Roman" w:cstheme="minorHAnsi"/>
        </w:rPr>
        <w:t xml:space="preserve"> 9% of artists </w:t>
      </w:r>
      <w:r w:rsidR="0012621D">
        <w:rPr>
          <w:rFonts w:eastAsia="Times New Roman" w:cstheme="minorHAnsi"/>
        </w:rPr>
        <w:t xml:space="preserve">overall </w:t>
      </w:r>
      <w:r w:rsidR="0086789E" w:rsidRPr="00F87351">
        <w:rPr>
          <w:rFonts w:eastAsia="Times New Roman" w:cstheme="minorHAnsi"/>
        </w:rPr>
        <w:t>identify with disability – roughly half the proportion of the Australian population reporting disability</w:t>
      </w:r>
      <w:r w:rsidR="0077534D" w:rsidRPr="00F87351">
        <w:rPr>
          <w:rFonts w:eastAsia="Times New Roman" w:cstheme="minorHAnsi"/>
        </w:rPr>
        <w:t>.</w:t>
      </w:r>
      <w:r w:rsidR="005963AB">
        <w:rPr>
          <w:rFonts w:eastAsia="Times New Roman" w:cstheme="minorHAnsi"/>
          <w:vertAlign w:val="superscript"/>
        </w:rPr>
        <w:t>2</w:t>
      </w:r>
    </w:p>
    <w:p w14:paraId="4788D685" w14:textId="679A876D" w:rsidR="0037221B" w:rsidRPr="0037221B" w:rsidRDefault="0037221B" w:rsidP="0037221B">
      <w:pPr>
        <w:rPr>
          <w:rFonts w:asciiTheme="minorHAnsi" w:hAnsiTheme="minorHAnsi" w:cstheme="minorHAnsi"/>
        </w:rPr>
      </w:pPr>
    </w:p>
    <w:p w14:paraId="5DAE012F" w14:textId="40412A3D" w:rsidR="0037221B" w:rsidRPr="0012621D" w:rsidRDefault="0012621D" w:rsidP="0027142E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cstheme="minorHAnsi"/>
        </w:rPr>
        <w:t>And w</w:t>
      </w:r>
      <w:r w:rsidRPr="0012621D">
        <w:rPr>
          <w:rFonts w:cstheme="minorHAnsi"/>
        </w:rPr>
        <w:t xml:space="preserve">hen broken down by art form, some areas have much poorer representation than others. For example, performing artists have the smallest </w:t>
      </w:r>
      <w:r>
        <w:rPr>
          <w:rFonts w:cstheme="minorHAnsi"/>
        </w:rPr>
        <w:t>proportion</w:t>
      </w:r>
      <w:r w:rsidRPr="0012621D">
        <w:rPr>
          <w:rFonts w:cstheme="minorHAnsi"/>
        </w:rPr>
        <w:t xml:space="preserve"> of artists with disability</w:t>
      </w:r>
      <w:r>
        <w:rPr>
          <w:rFonts w:cstheme="minorHAnsi"/>
        </w:rPr>
        <w:t xml:space="preserve"> </w:t>
      </w:r>
      <w:r>
        <w:rPr>
          <w:rFonts w:cstheme="minorHAnsi"/>
        </w:rPr>
        <w:t>(6 or 7%)</w:t>
      </w:r>
      <w:r w:rsidRPr="0012621D">
        <w:rPr>
          <w:rFonts w:cstheme="minorHAnsi"/>
        </w:rPr>
        <w:t>, whereas community cultural development artists have the largest</w:t>
      </w:r>
      <w:r>
        <w:rPr>
          <w:rFonts w:cstheme="minorHAnsi"/>
        </w:rPr>
        <w:t xml:space="preserve"> (14%).</w:t>
      </w:r>
      <w:r>
        <w:rPr>
          <w:rFonts w:cstheme="minorHAnsi"/>
          <w:vertAlign w:val="superscript"/>
        </w:rPr>
        <w:t>3</w:t>
      </w:r>
    </w:p>
    <w:p w14:paraId="0398E292" w14:textId="105EA1DC" w:rsidR="00F87351" w:rsidRPr="001A5FB7" w:rsidRDefault="00612B7A" w:rsidP="001A5FB7">
      <w:pPr>
        <w:pStyle w:val="Heading1"/>
        <w:rPr>
          <w:lang w:val="en-US"/>
        </w:rPr>
      </w:pPr>
      <w:r w:rsidRPr="0077534D">
        <w:rPr>
          <w:lang w:val="en-US"/>
        </w:rPr>
        <w:t>Bu</w:t>
      </w:r>
      <w:r w:rsidR="00887F5D" w:rsidRPr="0077534D">
        <w:rPr>
          <w:lang w:val="en-US"/>
        </w:rPr>
        <w:t>t</w:t>
      </w:r>
      <w:r w:rsidRPr="0077534D">
        <w:rPr>
          <w:lang w:val="en-US"/>
        </w:rPr>
        <w:t xml:space="preserve"> there’s still hope</w:t>
      </w:r>
      <w:r w:rsidR="00887F5D" w:rsidRPr="0077534D">
        <w:rPr>
          <w:lang w:val="en-US"/>
        </w:rPr>
        <w:t>.</w:t>
      </w:r>
    </w:p>
    <w:p w14:paraId="1142073C" w14:textId="6D21A44A" w:rsidR="002F4D0A" w:rsidRPr="0037221B" w:rsidRDefault="002F4D0A" w:rsidP="0037221B">
      <w:pPr>
        <w:rPr>
          <w:rFonts w:eastAsiaTheme="minorHAnsi" w:cstheme="minorHAnsi"/>
          <w:color w:val="000000"/>
          <w:lang w:val="en-US"/>
        </w:rPr>
      </w:pPr>
      <w:r w:rsidRPr="0037221B">
        <w:rPr>
          <w:rFonts w:cstheme="minorHAnsi"/>
        </w:rPr>
        <w:t xml:space="preserve"> </w:t>
      </w:r>
    </w:p>
    <w:p w14:paraId="4BBC060D" w14:textId="1D024FE8" w:rsidR="001A5FB7" w:rsidRPr="00C64943" w:rsidRDefault="001A5FB7" w:rsidP="001A5FB7">
      <w:pPr>
        <w:pStyle w:val="ListParagraph"/>
        <w:numPr>
          <w:ilvl w:val="0"/>
          <w:numId w:val="13"/>
        </w:numPr>
      </w:pPr>
      <w:r>
        <w:t>Audiences are increasingly seeking out work from diverse perspectives, and there is increasing willingness from presenters and programmers to showcase work by diverse artists, including artists with disability.</w:t>
      </w:r>
      <w:r w:rsidR="00DE4D76">
        <w:rPr>
          <w:rFonts w:cstheme="minorHAnsi"/>
          <w:color w:val="000000"/>
          <w:vertAlign w:val="superscript"/>
          <w:lang w:val="en-US"/>
        </w:rPr>
        <w:t>8</w:t>
      </w:r>
    </w:p>
    <w:p w14:paraId="4A62CF6B" w14:textId="77777777" w:rsidR="001A5FB7" w:rsidRPr="001A5FB7" w:rsidRDefault="001A5FB7" w:rsidP="001A5FB7">
      <w:pPr>
        <w:ind w:left="360"/>
        <w:rPr>
          <w:rFonts w:cstheme="minorHAnsi"/>
          <w:color w:val="000000"/>
          <w:lang w:val="en-US"/>
        </w:rPr>
      </w:pPr>
    </w:p>
    <w:p w14:paraId="558E5146" w14:textId="3A88611C" w:rsidR="0037221B" w:rsidRPr="001A5FB7" w:rsidRDefault="0037221B" w:rsidP="0037221B">
      <w:pPr>
        <w:pStyle w:val="ListParagraph"/>
        <w:numPr>
          <w:ilvl w:val="0"/>
          <w:numId w:val="13"/>
        </w:numPr>
        <w:rPr>
          <w:rFonts w:cstheme="minorHAnsi"/>
          <w:color w:val="000000"/>
          <w:lang w:val="en-US"/>
        </w:rPr>
      </w:pPr>
      <w:r>
        <w:t xml:space="preserve">Artists with disability are </w:t>
      </w:r>
      <w:r w:rsidR="001A5FB7">
        <w:t xml:space="preserve">being recognised for </w:t>
      </w:r>
      <w:r>
        <w:t>creating art that pushes boundaries and opens new avenues of creative and aesthetic possibility.</w:t>
      </w:r>
      <w:r w:rsidR="00DE4D76">
        <w:rPr>
          <w:rFonts w:cstheme="minorHAnsi"/>
          <w:color w:val="000000"/>
          <w:vertAlign w:val="superscript"/>
          <w:lang w:val="en-US"/>
        </w:rPr>
        <w:t>8</w:t>
      </w:r>
    </w:p>
    <w:p w14:paraId="18D11811" w14:textId="77777777" w:rsidR="001A5FB7" w:rsidRPr="001A5FB7" w:rsidRDefault="001A5FB7" w:rsidP="001A5FB7">
      <w:pPr>
        <w:pStyle w:val="ListParagraph"/>
        <w:rPr>
          <w:rFonts w:cstheme="minorHAnsi"/>
          <w:color w:val="000000"/>
          <w:lang w:val="en-US"/>
        </w:rPr>
      </w:pPr>
    </w:p>
    <w:p w14:paraId="5BC0CC46" w14:textId="7CC03DDC" w:rsidR="001A5FB7" w:rsidRPr="001A5FB7" w:rsidRDefault="001A5FB7" w:rsidP="00511F7E">
      <w:pPr>
        <w:pStyle w:val="ListParagraph"/>
        <w:numPr>
          <w:ilvl w:val="0"/>
          <w:numId w:val="13"/>
        </w:numPr>
        <w:rPr>
          <w:rFonts w:cstheme="minorHAnsi"/>
          <w:color w:val="000000"/>
          <w:lang w:val="en-US"/>
        </w:rPr>
      </w:pPr>
      <w:r w:rsidRPr="001A5FB7">
        <w:rPr>
          <w:rFonts w:cstheme="minorHAnsi"/>
          <w:color w:val="000000"/>
          <w:lang w:val="en-US"/>
        </w:rPr>
        <w:t>The experience of disability in arts practice has the power to transform both the art form and the audience experience.</w:t>
      </w:r>
      <w:r w:rsidR="00DE4D76">
        <w:rPr>
          <w:rFonts w:cstheme="minorHAnsi"/>
          <w:color w:val="000000"/>
          <w:vertAlign w:val="superscript"/>
          <w:lang w:val="en-US"/>
        </w:rPr>
        <w:t>8</w:t>
      </w:r>
    </w:p>
    <w:p w14:paraId="3150C067" w14:textId="77777777" w:rsidR="00C64943" w:rsidRPr="001A5FB7" w:rsidRDefault="00C64943" w:rsidP="001A5FB7">
      <w:pPr>
        <w:rPr>
          <w:rFonts w:cstheme="minorHAnsi"/>
        </w:rPr>
      </w:pPr>
    </w:p>
    <w:p w14:paraId="1033F691" w14:textId="3128D364" w:rsidR="00923D41" w:rsidRDefault="0077534D" w:rsidP="0077534D">
      <w:pPr>
        <w:rPr>
          <w:rFonts w:cstheme="minorHAnsi"/>
          <w:i/>
        </w:rPr>
      </w:pPr>
      <w:r w:rsidRPr="0077534D">
        <w:rPr>
          <w:rFonts w:cstheme="minorHAnsi"/>
          <w:i/>
          <w:color w:val="000000"/>
          <w:lang w:val="en-US"/>
        </w:rPr>
        <w:lastRenderedPageBreak/>
        <w:t xml:space="preserve">This research summary was published </w:t>
      </w:r>
      <w:r>
        <w:rPr>
          <w:rFonts w:cstheme="minorHAnsi"/>
          <w:i/>
          <w:color w:val="000000"/>
          <w:lang w:val="en-US"/>
        </w:rPr>
        <w:t xml:space="preserve">by Arts Access Australia </w:t>
      </w:r>
      <w:r w:rsidRPr="0077534D">
        <w:rPr>
          <w:rFonts w:cstheme="minorHAnsi"/>
          <w:i/>
          <w:color w:val="000000"/>
          <w:lang w:val="en-US"/>
        </w:rPr>
        <w:t xml:space="preserve">on </w:t>
      </w:r>
      <w:r w:rsidR="00DE4D76">
        <w:rPr>
          <w:rFonts w:cstheme="minorHAnsi"/>
          <w:i/>
        </w:rPr>
        <w:t>4</w:t>
      </w:r>
      <w:r w:rsidRPr="0077534D">
        <w:rPr>
          <w:rFonts w:cstheme="minorHAnsi"/>
          <w:i/>
        </w:rPr>
        <w:t xml:space="preserve"> February 201</w:t>
      </w:r>
      <w:r>
        <w:rPr>
          <w:rFonts w:cstheme="minorHAnsi"/>
          <w:i/>
        </w:rPr>
        <w:t>9</w:t>
      </w:r>
      <w:r w:rsidRPr="0077534D">
        <w:rPr>
          <w:rFonts w:cstheme="minorHAnsi"/>
          <w:i/>
        </w:rPr>
        <w:t>.</w:t>
      </w:r>
    </w:p>
    <w:p w14:paraId="23B4F8AD" w14:textId="70B4C01D" w:rsidR="005963AB" w:rsidRDefault="005963AB" w:rsidP="0077534D">
      <w:pPr>
        <w:rPr>
          <w:rFonts w:cstheme="minorHAnsi"/>
          <w:i/>
        </w:rPr>
      </w:pPr>
    </w:p>
    <w:p w14:paraId="67228CA9" w14:textId="337B306C" w:rsidR="005963AB" w:rsidRDefault="005963AB" w:rsidP="0077534D">
      <w:pPr>
        <w:rPr>
          <w:rFonts w:cstheme="minorHAnsi"/>
          <w:i/>
        </w:rPr>
      </w:pPr>
    </w:p>
    <w:p w14:paraId="17FD70D6" w14:textId="77777777" w:rsidR="005963AB" w:rsidRDefault="005963AB" w:rsidP="0077534D">
      <w:pPr>
        <w:rPr>
          <w:rFonts w:cstheme="minorHAnsi"/>
          <w:i/>
        </w:rPr>
      </w:pPr>
    </w:p>
    <w:p w14:paraId="37955C85" w14:textId="77777777" w:rsidR="005963AB" w:rsidRPr="005963AB" w:rsidRDefault="005963AB" w:rsidP="0077534D">
      <w:pPr>
        <w:rPr>
          <w:rFonts w:cstheme="minorHAnsi"/>
          <w:i/>
        </w:rPr>
      </w:pPr>
    </w:p>
    <w:sectPr w:rsidR="005963AB" w:rsidRPr="005963AB" w:rsidSect="00923D41">
      <w:endnotePr>
        <w:numFmt w:val="decimal"/>
      </w:endnotePr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1F02" w14:textId="77777777" w:rsidR="000246F1" w:rsidRDefault="000246F1" w:rsidP="00E03089">
      <w:r>
        <w:separator/>
      </w:r>
    </w:p>
  </w:endnote>
  <w:endnote w:type="continuationSeparator" w:id="0">
    <w:p w14:paraId="2F73D38C" w14:textId="77777777" w:rsidR="000246F1" w:rsidRDefault="000246F1" w:rsidP="00E03089">
      <w:r>
        <w:continuationSeparator/>
      </w:r>
    </w:p>
  </w:endnote>
  <w:endnote w:id="1">
    <w:p w14:paraId="72E707B3" w14:textId="68FFFECF" w:rsidR="005963AB" w:rsidRPr="00F450C8" w:rsidRDefault="005963AB" w:rsidP="005963AB">
      <w:pPr>
        <w:pStyle w:val="EndnoteText"/>
        <w:rPr>
          <w:rFonts w:cstheme="minorHAnsi"/>
          <w:sz w:val="24"/>
          <w:szCs w:val="24"/>
        </w:rPr>
      </w:pPr>
      <w:r w:rsidRPr="00F450C8">
        <w:rPr>
          <w:rFonts w:cstheme="minorHAnsi"/>
          <w:sz w:val="24"/>
          <w:szCs w:val="24"/>
          <w:vertAlign w:val="superscript"/>
        </w:rPr>
        <w:t>1</w:t>
      </w:r>
      <w:r w:rsidR="001A5FB7" w:rsidRPr="00F450C8">
        <w:rPr>
          <w:rFonts w:cstheme="minorHAnsi"/>
          <w:sz w:val="24"/>
          <w:szCs w:val="24"/>
        </w:rPr>
        <w:t>Australia Council for the Art</w:t>
      </w:r>
      <w:r w:rsidR="00DE4D76" w:rsidRPr="00F450C8">
        <w:rPr>
          <w:rFonts w:cstheme="minorHAnsi"/>
          <w:sz w:val="24"/>
          <w:szCs w:val="24"/>
        </w:rPr>
        <w:t>s</w:t>
      </w:r>
      <w:r w:rsidR="001A5FB7" w:rsidRPr="00F450C8">
        <w:rPr>
          <w:rFonts w:cstheme="minorHAnsi"/>
          <w:sz w:val="24"/>
          <w:szCs w:val="24"/>
        </w:rPr>
        <w:t xml:space="preserve"> 2017</w:t>
      </w:r>
      <w:r w:rsidR="00DE4D76" w:rsidRPr="00F450C8">
        <w:rPr>
          <w:rFonts w:cstheme="minorHAnsi"/>
          <w:sz w:val="24"/>
          <w:szCs w:val="24"/>
        </w:rPr>
        <w:t>,</w:t>
      </w:r>
      <w:r w:rsidR="001A5FB7" w:rsidRPr="00F450C8">
        <w:rPr>
          <w:rFonts w:cstheme="minorHAnsi"/>
          <w:sz w:val="24"/>
          <w:szCs w:val="24"/>
        </w:rPr>
        <w:t xml:space="preserve"> </w:t>
      </w:r>
      <w:hyperlink r:id="rId1" w:history="1">
        <w:r w:rsidR="001A5FB7" w:rsidRPr="00F450C8">
          <w:rPr>
            <w:rStyle w:val="Hyperlink"/>
            <w:rFonts w:cstheme="minorHAnsi"/>
            <w:sz w:val="24"/>
            <w:szCs w:val="24"/>
          </w:rPr>
          <w:t>C</w:t>
        </w:r>
        <w:r w:rsidRPr="00F450C8">
          <w:rPr>
            <w:rStyle w:val="Hyperlink"/>
            <w:rFonts w:cstheme="minorHAnsi"/>
            <w:sz w:val="24"/>
            <w:szCs w:val="24"/>
          </w:rPr>
          <w:t>onn</w:t>
        </w:r>
        <w:r w:rsidR="001A5FB7" w:rsidRPr="00F450C8">
          <w:rPr>
            <w:rStyle w:val="Hyperlink"/>
            <w:rFonts w:cstheme="minorHAnsi"/>
            <w:sz w:val="24"/>
            <w:szCs w:val="24"/>
          </w:rPr>
          <w:t>ecting</w:t>
        </w:r>
        <w:r w:rsidRPr="00F450C8">
          <w:rPr>
            <w:rStyle w:val="Hyperlink"/>
            <w:rFonts w:cstheme="minorHAnsi"/>
            <w:sz w:val="24"/>
            <w:szCs w:val="24"/>
          </w:rPr>
          <w:t xml:space="preserve"> Australian</w:t>
        </w:r>
        <w:r w:rsidR="001A5FB7" w:rsidRPr="00F450C8">
          <w:rPr>
            <w:rStyle w:val="Hyperlink"/>
            <w:rFonts w:cstheme="minorHAnsi"/>
            <w:sz w:val="24"/>
            <w:szCs w:val="24"/>
          </w:rPr>
          <w:t>s: Results of the National Arts Participation Survey.</w:t>
        </w:r>
      </w:hyperlink>
    </w:p>
    <w:p w14:paraId="3FE73C9D" w14:textId="0354E4C1" w:rsidR="005963AB" w:rsidRPr="00F450C8" w:rsidRDefault="005963AB" w:rsidP="005963AB">
      <w:pPr>
        <w:pStyle w:val="EndnoteText"/>
        <w:rPr>
          <w:rFonts w:eastAsia="Times New Roman" w:cstheme="minorHAnsi"/>
          <w:sz w:val="24"/>
          <w:szCs w:val="24"/>
        </w:rPr>
      </w:pPr>
      <w:r w:rsidRPr="00F450C8">
        <w:rPr>
          <w:rFonts w:cstheme="minorHAnsi"/>
          <w:sz w:val="24"/>
          <w:szCs w:val="24"/>
          <w:vertAlign w:val="superscript"/>
        </w:rPr>
        <w:t>2</w:t>
      </w:r>
      <w:r w:rsidRPr="00F450C8">
        <w:rPr>
          <w:rFonts w:eastAsia="Times New Roman" w:cstheme="minorHAnsi"/>
          <w:sz w:val="24"/>
          <w:szCs w:val="24"/>
        </w:rPr>
        <w:t xml:space="preserve"> Australia Council for the Arts 2017, </w:t>
      </w:r>
      <w:hyperlink r:id="rId2" w:history="1">
        <w:r w:rsidRPr="00F450C8">
          <w:rPr>
            <w:rStyle w:val="Hyperlink"/>
            <w:rFonts w:eastAsia="Times New Roman" w:cstheme="minorHAnsi"/>
            <w:sz w:val="24"/>
            <w:szCs w:val="24"/>
          </w:rPr>
          <w:t>Making Art Work: A summary and response by the Australia Council for the Arts.</w:t>
        </w:r>
      </w:hyperlink>
    </w:p>
    <w:p w14:paraId="250D29E1" w14:textId="36F4312C" w:rsidR="005963AB" w:rsidRPr="00F450C8" w:rsidRDefault="005963AB" w:rsidP="00DE4D76">
      <w:pPr>
        <w:rPr>
          <w:rFonts w:asciiTheme="minorHAnsi" w:hAnsiTheme="minorHAnsi" w:cstheme="minorHAnsi"/>
          <w:i/>
        </w:rPr>
      </w:pPr>
      <w:r w:rsidRPr="00F450C8">
        <w:rPr>
          <w:rFonts w:asciiTheme="minorHAnsi" w:hAnsiTheme="minorHAnsi" w:cstheme="minorHAnsi"/>
          <w:vertAlign w:val="superscript"/>
        </w:rPr>
        <w:t>3</w:t>
      </w:r>
      <w:r w:rsidRPr="00F450C8">
        <w:rPr>
          <w:rFonts w:asciiTheme="minorHAnsi" w:hAnsiTheme="minorHAnsi" w:cstheme="minorHAnsi"/>
        </w:rPr>
        <w:t xml:space="preserve"> </w:t>
      </w:r>
      <w:r w:rsidR="00DE4D76" w:rsidRPr="00F450C8">
        <w:rPr>
          <w:rFonts w:asciiTheme="minorHAnsi" w:hAnsiTheme="minorHAnsi" w:cstheme="minorHAnsi"/>
          <w:color w:val="333333"/>
          <w:shd w:val="clear" w:color="auto" w:fill="FFFFFF"/>
        </w:rPr>
        <w:t xml:space="preserve">Throsby D &amp; </w:t>
      </w:r>
      <w:proofErr w:type="spellStart"/>
      <w:r w:rsidR="00DE4D76" w:rsidRPr="00F450C8">
        <w:rPr>
          <w:rFonts w:asciiTheme="minorHAnsi" w:hAnsiTheme="minorHAnsi" w:cstheme="minorHAnsi"/>
          <w:color w:val="333333"/>
          <w:shd w:val="clear" w:color="auto" w:fill="FFFFFF"/>
        </w:rPr>
        <w:t>Petetskaya</w:t>
      </w:r>
      <w:proofErr w:type="spellEnd"/>
      <w:r w:rsidR="00DE4D76" w:rsidRPr="00F450C8">
        <w:rPr>
          <w:rFonts w:asciiTheme="minorHAnsi" w:hAnsiTheme="minorHAnsi" w:cstheme="minorHAnsi"/>
          <w:color w:val="333333"/>
          <w:shd w:val="clear" w:color="auto" w:fill="FFFFFF"/>
        </w:rPr>
        <w:t xml:space="preserve"> K 2017</w:t>
      </w:r>
      <w:r w:rsidR="00DE4D76" w:rsidRPr="00F450C8">
        <w:rPr>
          <w:rFonts w:asciiTheme="minorHAnsi" w:hAnsiTheme="minorHAnsi" w:cstheme="minorHAnsi"/>
          <w:i/>
          <w:color w:val="333333"/>
          <w:shd w:val="clear" w:color="auto" w:fill="FFFFFF"/>
        </w:rPr>
        <w:t>, </w:t>
      </w:r>
      <w:hyperlink r:id="rId3" w:tgtFrame="_blank" w:history="1">
        <w:r w:rsidR="00DE4D76" w:rsidRPr="00F450C8">
          <w:rPr>
            <w:rStyle w:val="Emphasis"/>
            <w:rFonts w:asciiTheme="minorHAnsi" w:hAnsiTheme="minorHAnsi" w:cstheme="minorHAnsi"/>
            <w:i w:val="0"/>
            <w:color w:val="4472C4" w:themeColor="accent1"/>
            <w:u w:val="single"/>
            <w:shd w:val="clear" w:color="auto" w:fill="FFFFFF"/>
          </w:rPr>
          <w:t>Making Art Work: An Economic Study of Professional Artists in Australia</w:t>
        </w:r>
      </w:hyperlink>
    </w:p>
    <w:p w14:paraId="050C6439" w14:textId="195953D4" w:rsidR="005963AB" w:rsidRPr="00F450C8" w:rsidRDefault="005963AB" w:rsidP="005963AB">
      <w:pPr>
        <w:pStyle w:val="EndnoteText"/>
        <w:rPr>
          <w:rFonts w:eastAsia="Times New Roman" w:cstheme="minorHAnsi"/>
          <w:sz w:val="24"/>
          <w:szCs w:val="24"/>
        </w:rPr>
      </w:pPr>
      <w:r w:rsidRPr="00F450C8">
        <w:rPr>
          <w:rFonts w:cstheme="minorHAnsi"/>
          <w:sz w:val="24"/>
          <w:szCs w:val="24"/>
          <w:vertAlign w:val="superscript"/>
        </w:rPr>
        <w:t>4</w:t>
      </w:r>
      <w:r w:rsidR="00DE4D76" w:rsidRPr="00F450C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E4D76" w:rsidRPr="00F450C8">
        <w:rPr>
          <w:rFonts w:cstheme="minorHAnsi"/>
          <w:color w:val="333333"/>
          <w:sz w:val="24"/>
          <w:szCs w:val="24"/>
          <w:shd w:val="clear" w:color="auto" w:fill="FFFFFF"/>
        </w:rPr>
        <w:t xml:space="preserve">Throsby D &amp; </w:t>
      </w:r>
      <w:proofErr w:type="spellStart"/>
      <w:r w:rsidR="00DE4D76" w:rsidRPr="00F450C8">
        <w:rPr>
          <w:rFonts w:cstheme="minorHAnsi"/>
          <w:color w:val="333333"/>
          <w:sz w:val="24"/>
          <w:szCs w:val="24"/>
          <w:shd w:val="clear" w:color="auto" w:fill="FFFFFF"/>
        </w:rPr>
        <w:t>Petetskaya</w:t>
      </w:r>
      <w:proofErr w:type="spellEnd"/>
      <w:r w:rsidR="00DE4D76" w:rsidRPr="00F450C8">
        <w:rPr>
          <w:rFonts w:cstheme="minorHAnsi"/>
          <w:color w:val="333333"/>
          <w:sz w:val="24"/>
          <w:szCs w:val="24"/>
          <w:shd w:val="clear" w:color="auto" w:fill="FFFFFF"/>
        </w:rPr>
        <w:t xml:space="preserve"> K 201</w:t>
      </w:r>
      <w:r w:rsidR="00DE4D76" w:rsidRPr="00F450C8">
        <w:rPr>
          <w:rFonts w:cstheme="minorHAnsi"/>
          <w:color w:val="333333"/>
          <w:sz w:val="24"/>
          <w:szCs w:val="24"/>
          <w:shd w:val="clear" w:color="auto" w:fill="FFFFFF"/>
        </w:rPr>
        <w:t xml:space="preserve">0, </w:t>
      </w:r>
      <w:hyperlink r:id="rId4" w:history="1">
        <w:r w:rsidRPr="00F450C8">
          <w:rPr>
            <w:rStyle w:val="Hyperlink"/>
            <w:rFonts w:eastAsia="Times New Roman" w:cstheme="minorHAnsi"/>
            <w:sz w:val="24"/>
            <w:szCs w:val="24"/>
          </w:rPr>
          <w:t>Do you really expect to get paid?</w:t>
        </w:r>
        <w:r w:rsidR="00DE4D76" w:rsidRPr="00F450C8">
          <w:rPr>
            <w:rStyle w:val="Hyperlink"/>
            <w:rFonts w:eastAsia="Times New Roman" w:cstheme="minorHAnsi"/>
            <w:sz w:val="24"/>
            <w:szCs w:val="24"/>
          </w:rPr>
          <w:t xml:space="preserve">: </w:t>
        </w:r>
        <w:r w:rsidRPr="00F450C8">
          <w:rPr>
            <w:rStyle w:val="Hyperlink"/>
            <w:rFonts w:eastAsia="Times New Roman" w:cstheme="minorHAnsi"/>
            <w:sz w:val="24"/>
            <w:szCs w:val="24"/>
          </w:rPr>
          <w:t>An economic study of professional artists in Australia</w:t>
        </w:r>
      </w:hyperlink>
      <w:r w:rsidRPr="00F450C8">
        <w:rPr>
          <w:rFonts w:eastAsia="Times New Roman" w:cstheme="minorHAnsi"/>
          <w:sz w:val="24"/>
          <w:szCs w:val="24"/>
        </w:rPr>
        <w:t xml:space="preserve"> </w:t>
      </w:r>
    </w:p>
    <w:p w14:paraId="476D9D1F" w14:textId="7E5A8233" w:rsidR="005963AB" w:rsidRPr="00F450C8" w:rsidRDefault="005963AB" w:rsidP="005963AB">
      <w:pPr>
        <w:rPr>
          <w:rFonts w:asciiTheme="minorHAnsi" w:hAnsiTheme="minorHAnsi" w:cstheme="minorHAnsi"/>
        </w:rPr>
      </w:pPr>
      <w:r w:rsidRPr="00F450C8">
        <w:rPr>
          <w:rFonts w:asciiTheme="minorHAnsi" w:hAnsiTheme="minorHAnsi" w:cstheme="minorHAnsi"/>
          <w:vertAlign w:val="superscript"/>
        </w:rPr>
        <w:t>5</w:t>
      </w:r>
      <w:r w:rsidR="00DE4D76" w:rsidRPr="00F450C8">
        <w:rPr>
          <w:rFonts w:asciiTheme="minorHAnsi" w:hAnsiTheme="minorHAnsi" w:cstheme="minorHAnsi"/>
        </w:rPr>
        <w:t xml:space="preserve"> </w:t>
      </w:r>
      <w:r w:rsidR="00DE4D76" w:rsidRPr="00F450C8">
        <w:rPr>
          <w:rFonts w:asciiTheme="minorHAnsi" w:hAnsiTheme="minorHAnsi" w:cstheme="minorHAnsi"/>
        </w:rPr>
        <w:t xml:space="preserve">DADAA Inc and Arts Access Australia 2012, </w:t>
      </w:r>
      <w:hyperlink r:id="rId5" w:history="1">
        <w:r w:rsidR="00DE4D76" w:rsidRPr="00F450C8">
          <w:rPr>
            <w:rStyle w:val="Hyperlink"/>
            <w:rFonts w:asciiTheme="minorHAnsi" w:hAnsiTheme="minorHAnsi" w:cstheme="minorHAnsi"/>
          </w:rPr>
          <w:t>Art Works: Employment in the arts for people with disability</w:t>
        </w:r>
      </w:hyperlink>
    </w:p>
    <w:p w14:paraId="533193DD" w14:textId="1C139AE1" w:rsidR="005963AB" w:rsidRPr="00F450C8" w:rsidRDefault="005963AB" w:rsidP="005963AB">
      <w:pPr>
        <w:pStyle w:val="EndnoteText"/>
        <w:rPr>
          <w:rFonts w:cstheme="minorHAnsi"/>
          <w:color w:val="000000"/>
          <w:sz w:val="24"/>
          <w:szCs w:val="24"/>
          <w:lang w:val="en-US"/>
        </w:rPr>
      </w:pPr>
      <w:r w:rsidRPr="00F450C8">
        <w:rPr>
          <w:rFonts w:cstheme="minorHAnsi"/>
          <w:sz w:val="24"/>
          <w:szCs w:val="24"/>
          <w:vertAlign w:val="superscript"/>
        </w:rPr>
        <w:t>6</w:t>
      </w:r>
      <w:r w:rsidRPr="00F450C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F450C8" w:rsidRPr="00F450C8">
        <w:rPr>
          <w:rFonts w:cstheme="minorHAnsi"/>
          <w:color w:val="000000"/>
          <w:sz w:val="24"/>
          <w:szCs w:val="24"/>
          <w:lang w:val="en-US"/>
        </w:rPr>
        <w:t xml:space="preserve">Australian Human Rights Commission 2016, </w:t>
      </w:r>
      <w:hyperlink r:id="rId6" w:history="1">
        <w:r w:rsidR="00F450C8" w:rsidRPr="00F450C8">
          <w:rPr>
            <w:rStyle w:val="Hyperlink"/>
            <w:rFonts w:cstheme="minorHAnsi"/>
            <w:sz w:val="24"/>
            <w:szCs w:val="24"/>
            <w:lang w:val="en-US"/>
          </w:rPr>
          <w:t xml:space="preserve">Willing to work: National Inquiry into Employment </w:t>
        </w:r>
        <w:r w:rsidRPr="00F450C8">
          <w:rPr>
            <w:rStyle w:val="Hyperlink"/>
            <w:rFonts w:cstheme="minorHAnsi"/>
            <w:sz w:val="24"/>
            <w:szCs w:val="24"/>
            <w:lang w:val="en-US"/>
          </w:rPr>
          <w:t>Discrimination against Australians with disability and older Australians</w:t>
        </w:r>
      </w:hyperlink>
    </w:p>
    <w:p w14:paraId="30026AD0" w14:textId="5C82DC39" w:rsidR="005963AB" w:rsidRPr="00F450C8" w:rsidRDefault="005963AB" w:rsidP="00DE4D76">
      <w:pPr>
        <w:rPr>
          <w:rFonts w:asciiTheme="minorHAnsi" w:hAnsiTheme="minorHAnsi" w:cstheme="minorHAnsi"/>
        </w:rPr>
      </w:pPr>
      <w:r w:rsidRPr="00F450C8">
        <w:rPr>
          <w:rFonts w:asciiTheme="minorHAnsi" w:hAnsiTheme="minorHAnsi" w:cstheme="minorHAnsi"/>
          <w:color w:val="000000"/>
          <w:vertAlign w:val="superscript"/>
          <w:lang w:val="en-US"/>
        </w:rPr>
        <w:t>7</w:t>
      </w:r>
      <w:r w:rsidRPr="00F450C8">
        <w:rPr>
          <w:rFonts w:asciiTheme="minorHAnsi" w:hAnsiTheme="minorHAnsi" w:cstheme="minorHAnsi"/>
        </w:rPr>
        <w:t xml:space="preserve"> </w:t>
      </w:r>
      <w:r w:rsidR="00DE4D76" w:rsidRPr="00F450C8">
        <w:rPr>
          <w:rFonts w:asciiTheme="minorHAnsi" w:hAnsiTheme="minorHAnsi" w:cstheme="minorHAnsi"/>
          <w:color w:val="333333"/>
          <w:shd w:val="clear" w:color="auto" w:fill="FFFFFF"/>
        </w:rPr>
        <w:t>Meeting of Cultural Ministers 2018, </w:t>
      </w:r>
      <w:hyperlink r:id="rId7" w:tgtFrame="_blank" w:history="1">
        <w:r w:rsidR="00DE4D76" w:rsidRPr="00F450C8">
          <w:rPr>
            <w:rFonts w:asciiTheme="minorHAnsi" w:hAnsiTheme="minorHAnsi" w:cstheme="minorHAnsi"/>
            <w:color w:val="4472C4" w:themeColor="accent1"/>
            <w:u w:val="single"/>
            <w:shd w:val="clear" w:color="auto" w:fill="FFFFFF"/>
          </w:rPr>
          <w:t>Research Overview: Arts and Disability in Australia</w:t>
        </w:r>
      </w:hyperlink>
    </w:p>
    <w:p w14:paraId="0A6AF6DC" w14:textId="02F53082" w:rsidR="005963AB" w:rsidRPr="00F450C8" w:rsidRDefault="00DE4D76" w:rsidP="005963AB">
      <w:pPr>
        <w:pStyle w:val="EndnoteText"/>
        <w:rPr>
          <w:rFonts w:cstheme="minorHAnsi"/>
          <w:color w:val="000000"/>
          <w:sz w:val="24"/>
          <w:szCs w:val="24"/>
          <w:lang w:val="en-US"/>
        </w:rPr>
      </w:pPr>
      <w:r w:rsidRPr="00F450C8">
        <w:rPr>
          <w:rFonts w:cstheme="minorHAnsi"/>
          <w:color w:val="000000"/>
          <w:sz w:val="24"/>
          <w:szCs w:val="24"/>
          <w:vertAlign w:val="superscript"/>
          <w:lang w:val="en-US"/>
        </w:rPr>
        <w:t>8</w:t>
      </w:r>
      <w:r w:rsidR="001A5FB7" w:rsidRPr="00F450C8">
        <w:rPr>
          <w:rFonts w:cstheme="minorHAnsi"/>
          <w:color w:val="000000"/>
          <w:sz w:val="24"/>
          <w:szCs w:val="24"/>
          <w:lang w:val="en-US"/>
        </w:rPr>
        <w:t xml:space="preserve">Australia Council for the Arts, 2018. </w:t>
      </w:r>
      <w:hyperlink r:id="rId8" w:history="1">
        <w:r w:rsidR="001A5FB7" w:rsidRPr="00F450C8">
          <w:rPr>
            <w:rStyle w:val="Hyperlink"/>
            <w:rFonts w:cstheme="minorHAnsi"/>
            <w:sz w:val="24"/>
            <w:szCs w:val="24"/>
            <w:lang w:val="en-US"/>
          </w:rPr>
          <w:t>C</w:t>
        </w:r>
        <w:r w:rsidR="005963AB" w:rsidRPr="00F450C8">
          <w:rPr>
            <w:rStyle w:val="Hyperlink"/>
            <w:rFonts w:cstheme="minorHAnsi"/>
            <w:sz w:val="24"/>
            <w:szCs w:val="24"/>
            <w:lang w:val="en-US"/>
          </w:rPr>
          <w:t>reating Pathways</w:t>
        </w:r>
        <w:r w:rsidR="001A5FB7" w:rsidRPr="00F450C8">
          <w:rPr>
            <w:rStyle w:val="Hyperlink"/>
            <w:rFonts w:cstheme="minorHAnsi"/>
            <w:sz w:val="24"/>
            <w:szCs w:val="24"/>
            <w:lang w:val="en-US"/>
          </w:rPr>
          <w:t xml:space="preserve">: Insights on support for artists with disability. </w:t>
        </w:r>
      </w:hyperlink>
      <w:r w:rsidR="005963AB" w:rsidRPr="00F450C8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14:paraId="57E429CE" w14:textId="3938622C" w:rsidR="001368A4" w:rsidRDefault="001368A4">
      <w:pPr>
        <w:pStyle w:val="EndnoteText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F4C3" w14:textId="77777777" w:rsidR="000246F1" w:rsidRDefault="000246F1" w:rsidP="00E03089">
      <w:r>
        <w:separator/>
      </w:r>
    </w:p>
  </w:footnote>
  <w:footnote w:type="continuationSeparator" w:id="0">
    <w:p w14:paraId="6AC9ABCE" w14:textId="77777777" w:rsidR="000246F1" w:rsidRDefault="000246F1" w:rsidP="00E0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1FF"/>
    <w:multiLevelType w:val="hybridMultilevel"/>
    <w:tmpl w:val="94D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73B"/>
    <w:multiLevelType w:val="hybridMultilevel"/>
    <w:tmpl w:val="D524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49E0"/>
    <w:multiLevelType w:val="hybridMultilevel"/>
    <w:tmpl w:val="D33E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3F69"/>
    <w:multiLevelType w:val="hybridMultilevel"/>
    <w:tmpl w:val="835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638F"/>
    <w:multiLevelType w:val="hybridMultilevel"/>
    <w:tmpl w:val="55EA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C5197"/>
    <w:multiLevelType w:val="hybridMultilevel"/>
    <w:tmpl w:val="59A8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13DD"/>
    <w:multiLevelType w:val="hybridMultilevel"/>
    <w:tmpl w:val="65D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67104"/>
    <w:multiLevelType w:val="hybridMultilevel"/>
    <w:tmpl w:val="D5A0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C04D7"/>
    <w:multiLevelType w:val="hybridMultilevel"/>
    <w:tmpl w:val="DC4C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42E6"/>
    <w:multiLevelType w:val="hybridMultilevel"/>
    <w:tmpl w:val="81E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9787F"/>
    <w:multiLevelType w:val="hybridMultilevel"/>
    <w:tmpl w:val="BF88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16272"/>
    <w:multiLevelType w:val="hybridMultilevel"/>
    <w:tmpl w:val="12B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66E4"/>
    <w:multiLevelType w:val="hybridMultilevel"/>
    <w:tmpl w:val="095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0A"/>
    <w:rsid w:val="000246F1"/>
    <w:rsid w:val="00100CCB"/>
    <w:rsid w:val="001075EE"/>
    <w:rsid w:val="0012621D"/>
    <w:rsid w:val="001368A4"/>
    <w:rsid w:val="0016396A"/>
    <w:rsid w:val="001A5FB7"/>
    <w:rsid w:val="00220D6B"/>
    <w:rsid w:val="00280F0A"/>
    <w:rsid w:val="002F4D0A"/>
    <w:rsid w:val="0037221B"/>
    <w:rsid w:val="003B22C8"/>
    <w:rsid w:val="003D0F71"/>
    <w:rsid w:val="003E40B3"/>
    <w:rsid w:val="0044474F"/>
    <w:rsid w:val="005963AB"/>
    <w:rsid w:val="00612B7A"/>
    <w:rsid w:val="006B1ABE"/>
    <w:rsid w:val="00725269"/>
    <w:rsid w:val="0077534D"/>
    <w:rsid w:val="007A2C75"/>
    <w:rsid w:val="007D2535"/>
    <w:rsid w:val="0086789E"/>
    <w:rsid w:val="00883837"/>
    <w:rsid w:val="00887F5D"/>
    <w:rsid w:val="00923D41"/>
    <w:rsid w:val="00B51739"/>
    <w:rsid w:val="00C64943"/>
    <w:rsid w:val="00C70C9D"/>
    <w:rsid w:val="00CA549F"/>
    <w:rsid w:val="00CC2F8C"/>
    <w:rsid w:val="00CF4E54"/>
    <w:rsid w:val="00DA17CC"/>
    <w:rsid w:val="00DE4D76"/>
    <w:rsid w:val="00E03089"/>
    <w:rsid w:val="00EB17B4"/>
    <w:rsid w:val="00F069A1"/>
    <w:rsid w:val="00F450C8"/>
    <w:rsid w:val="00F72A40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0CC1D"/>
  <w15:chartTrackingRefBased/>
  <w15:docId w15:val="{E6CA7EB2-BD6C-8142-90A0-3FD9DF2C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2F8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08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0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0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7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8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2B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775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534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EndnoteText">
    <w:name w:val="endnote text"/>
    <w:basedOn w:val="Normal"/>
    <w:link w:val="EndnoteTextChar"/>
    <w:uiPriority w:val="99"/>
    <w:unhideWhenUsed/>
    <w:rsid w:val="00923D4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3D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3D4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4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council.gov.au/workspace/uploads/files/aca_225186_arts-and-disability-5ba339682cc18.pdf" TargetMode="External"/><Relationship Id="rId3" Type="http://schemas.openxmlformats.org/officeDocument/2006/relationships/hyperlink" Target="https://www.australiacouncil.gov.au/workspace/uploads/files/making-art-work-throsby-report-5a05106d0bb69.pdf" TargetMode="External"/><Relationship Id="rId7" Type="http://schemas.openxmlformats.org/officeDocument/2006/relationships/hyperlink" Target="https://www.arts.gov.au/sites/g/files/net1761/f/research_overview_of_arts_and_disability.pdf" TargetMode="External"/><Relationship Id="rId2" Type="http://schemas.openxmlformats.org/officeDocument/2006/relationships/hyperlink" Target="https://www.australiacouncil.gov.au/workspace/uploads/files/making-art-work-companion-repo-5a05105696225.pdf" TargetMode="External"/><Relationship Id="rId1" Type="http://schemas.openxmlformats.org/officeDocument/2006/relationships/hyperlink" Target="https://www.australiacouncil.gov.au/workspace/uploads/files/connecting-australians-natio-59520692c614a.pdf" TargetMode="External"/><Relationship Id="rId6" Type="http://schemas.openxmlformats.org/officeDocument/2006/relationships/hyperlink" Target="https://www.humanrights.gov.au/sites/default/files/document/publication/WTW_2016_Full_Report_AHRC_ac.pdf" TargetMode="External"/><Relationship Id="rId5" Type="http://schemas.openxmlformats.org/officeDocument/2006/relationships/hyperlink" Target="http://www.dadaa.org.au/wp-content/uploads/2017/01/Art-Works-Full-Report-Web.pdf" TargetMode="External"/><Relationship Id="rId4" Type="http://schemas.openxmlformats.org/officeDocument/2006/relationships/hyperlink" Target="https://www.australiacouncil.gov.au/workspace/uploads/files/research/do_you_really_expect_to_get_pa-54325a3748d8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Tulloch</dc:creator>
  <cp:keywords/>
  <dc:description/>
  <cp:lastModifiedBy>Yvette Tulloch</cp:lastModifiedBy>
  <cp:revision>2</cp:revision>
  <dcterms:created xsi:type="dcterms:W3CDTF">2019-02-04T05:10:00Z</dcterms:created>
  <dcterms:modified xsi:type="dcterms:W3CDTF">2019-02-04T05:10:00Z</dcterms:modified>
</cp:coreProperties>
</file>